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F6F3" w14:textId="77777777" w:rsidR="00DD28E3" w:rsidRDefault="00FC04F8" w:rsidP="00D86A2D">
      <w:pPr>
        <w:jc w:val="center"/>
        <w:outlineLvl w:val="0"/>
      </w:pPr>
      <w:r>
        <w:rPr>
          <w:rFonts w:ascii="Courier New" w:hAnsi="Courier New"/>
          <w:b/>
          <w:sz w:val="24"/>
        </w:rPr>
        <w:t>NAVY-MARINE CORPS TRIAL JUDICIARY</w:t>
      </w:r>
    </w:p>
    <w:p w14:paraId="1A8A9887" w14:textId="77777777" w:rsidR="00DD28E3" w:rsidRDefault="00FC04F8" w:rsidP="00D86A2D">
      <w:pPr>
        <w:jc w:val="center"/>
        <w:outlineLvl w:val="0"/>
      </w:pPr>
      <w:r>
        <w:rPr>
          <w:rFonts w:ascii="Courier New" w:hAnsi="Courier New"/>
          <w:b/>
          <w:sz w:val="24"/>
        </w:rPr>
        <w:t>WESTERN JUDICIAL CIRCUIT</w:t>
      </w:r>
    </w:p>
    <w:p w14:paraId="520A3B20" w14:textId="77777777" w:rsidR="00DD28E3" w:rsidRDefault="00DD28E3">
      <w:pPr>
        <w:jc w:val="center"/>
      </w:pPr>
    </w:p>
    <w:p w14:paraId="6D8B0A6C" w14:textId="77777777" w:rsidR="00DD28E3" w:rsidRPr="00040D05" w:rsidRDefault="00FC04F8">
      <w:pPr>
        <w:rPr>
          <w:sz w:val="24"/>
          <w:szCs w:val="24"/>
        </w:rPr>
      </w:pPr>
      <w:r w:rsidRPr="00040D05">
        <w:rPr>
          <w:rFonts w:ascii="Courier New" w:hAnsi="Courier New"/>
          <w:sz w:val="24"/>
          <w:szCs w:val="24"/>
        </w:rPr>
        <w:t xml:space="preserve">U N I T E </w:t>
      </w:r>
      <w:proofErr w:type="gramStart"/>
      <w:r w:rsidRPr="00040D05">
        <w:rPr>
          <w:rFonts w:ascii="Courier New" w:hAnsi="Courier New"/>
          <w:sz w:val="24"/>
          <w:szCs w:val="24"/>
        </w:rPr>
        <w:t>D  S</w:t>
      </w:r>
      <w:proofErr w:type="gramEnd"/>
      <w:r w:rsidRPr="00040D05">
        <w:rPr>
          <w:rFonts w:ascii="Courier New" w:hAnsi="Courier New"/>
          <w:sz w:val="24"/>
          <w:szCs w:val="24"/>
        </w:rPr>
        <w:t xml:space="preserve"> T A T E S</w:t>
      </w:r>
      <w:r w:rsidRPr="00040D05">
        <w:rPr>
          <w:rFonts w:ascii="Courier New" w:hAnsi="Courier New"/>
          <w:sz w:val="24"/>
          <w:szCs w:val="24"/>
        </w:rPr>
        <w:tab/>
      </w:r>
      <w:r w:rsidRPr="00040D05">
        <w:rPr>
          <w:rFonts w:ascii="Courier New" w:hAnsi="Courier New"/>
          <w:sz w:val="24"/>
          <w:szCs w:val="24"/>
        </w:rPr>
        <w:tab/>
        <w:t xml:space="preserve">  )</w:t>
      </w:r>
    </w:p>
    <w:p w14:paraId="0A1BBC3C" w14:textId="77777777" w:rsidR="00DD28E3" w:rsidRPr="00040D05" w:rsidRDefault="00DD210C">
      <w:pPr>
        <w:rPr>
          <w:sz w:val="24"/>
          <w:szCs w:val="24"/>
        </w:rPr>
      </w:pP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t xml:space="preserve">  )</w:t>
      </w:r>
      <w:r w:rsidRPr="00040D05">
        <w:rPr>
          <w:rFonts w:ascii="Courier New" w:hAnsi="Courier New"/>
          <w:sz w:val="24"/>
          <w:szCs w:val="24"/>
        </w:rPr>
        <w:tab/>
        <w:t xml:space="preserve">    </w:t>
      </w:r>
      <w:r w:rsidR="00FC04F8" w:rsidRPr="00040D05">
        <w:rPr>
          <w:rFonts w:ascii="Courier New" w:hAnsi="Courier New"/>
          <w:sz w:val="24"/>
          <w:szCs w:val="24"/>
        </w:rPr>
        <w:t>GENERAL COURT-MARTIAL</w:t>
      </w:r>
    </w:p>
    <w:p w14:paraId="65110BF5" w14:textId="77777777" w:rsidR="00DD28E3" w:rsidRPr="00040D05" w:rsidRDefault="00FC04F8">
      <w:pPr>
        <w:rPr>
          <w:sz w:val="24"/>
          <w:szCs w:val="24"/>
        </w:rPr>
      </w:pPr>
      <w:r w:rsidRPr="00040D05">
        <w:rPr>
          <w:rFonts w:ascii="Courier New" w:hAnsi="Courier New"/>
          <w:sz w:val="24"/>
          <w:szCs w:val="24"/>
        </w:rPr>
        <w:tab/>
      </w:r>
      <w:r w:rsidRPr="00040D05">
        <w:rPr>
          <w:rFonts w:ascii="Courier New" w:hAnsi="Courier New"/>
          <w:sz w:val="24"/>
          <w:szCs w:val="24"/>
        </w:rPr>
        <w:tab/>
        <w:t xml:space="preserve">V. </w:t>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t xml:space="preserve">  )</w:t>
      </w:r>
    </w:p>
    <w:p w14:paraId="5A049EC1" w14:textId="77777777" w:rsidR="00DD28E3" w:rsidRPr="00040D05" w:rsidRDefault="00FC04F8">
      <w:pPr>
        <w:rPr>
          <w:sz w:val="24"/>
          <w:szCs w:val="24"/>
        </w:rPr>
      </w:pP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t xml:space="preserve">  )</w:t>
      </w:r>
      <w:r w:rsidRPr="00040D05">
        <w:rPr>
          <w:rFonts w:ascii="Courier New" w:hAnsi="Courier New"/>
          <w:sz w:val="24"/>
          <w:szCs w:val="24"/>
        </w:rPr>
        <w:tab/>
        <w:t xml:space="preserve">  </w:t>
      </w:r>
      <w:r w:rsidR="00DD210C" w:rsidRPr="00040D05">
        <w:rPr>
          <w:rFonts w:ascii="Courier New" w:hAnsi="Courier New"/>
          <w:sz w:val="24"/>
          <w:szCs w:val="24"/>
        </w:rPr>
        <w:t xml:space="preserve">  </w:t>
      </w:r>
      <w:r w:rsidR="004918DA">
        <w:rPr>
          <w:rFonts w:ascii="Courier New" w:hAnsi="Courier New"/>
          <w:sz w:val="24"/>
          <w:szCs w:val="24"/>
        </w:rPr>
        <w:t xml:space="preserve">   Bench Brief </w:t>
      </w:r>
      <w:r w:rsidR="00DD210C" w:rsidRPr="00040D05">
        <w:rPr>
          <w:rFonts w:ascii="Courier New" w:hAnsi="Courier New"/>
          <w:sz w:val="24"/>
          <w:szCs w:val="24"/>
        </w:rPr>
        <w:t xml:space="preserve"> </w:t>
      </w:r>
    </w:p>
    <w:p w14:paraId="7E4B2967" w14:textId="4469954B" w:rsidR="00DD28E3" w:rsidRPr="00040D05" w:rsidRDefault="00C241CE">
      <w:pPr>
        <w:rPr>
          <w:sz w:val="24"/>
          <w:szCs w:val="24"/>
        </w:rPr>
      </w:pPr>
      <w:r>
        <w:rPr>
          <w:rFonts w:ascii="Courier New" w:hAnsi="Courier New"/>
          <w:sz w:val="24"/>
          <w:szCs w:val="24"/>
        </w:rPr>
        <w:t>SNM</w:t>
      </w:r>
      <w:r w:rsidR="00FC04F8" w:rsidRPr="00040D05">
        <w:rPr>
          <w:rFonts w:ascii="Courier New" w:hAnsi="Courier New"/>
          <w:sz w:val="24"/>
          <w:szCs w:val="24"/>
        </w:rPr>
        <w:t xml:space="preserve">     </w:t>
      </w:r>
      <w:r w:rsidR="00DD210C" w:rsidRPr="00040D05">
        <w:rPr>
          <w:rFonts w:ascii="Courier New" w:hAnsi="Courier New"/>
          <w:sz w:val="24"/>
          <w:szCs w:val="24"/>
        </w:rPr>
        <w:t xml:space="preserve"> </w:t>
      </w:r>
      <w:r w:rsidR="00DD210C" w:rsidRPr="00040D05">
        <w:rPr>
          <w:rFonts w:ascii="Courier New" w:hAnsi="Courier New"/>
          <w:sz w:val="24"/>
          <w:szCs w:val="24"/>
        </w:rPr>
        <w:tab/>
      </w:r>
      <w:r w:rsidR="00DD210C" w:rsidRPr="00040D05">
        <w:rPr>
          <w:rFonts w:ascii="Courier New" w:hAnsi="Courier New"/>
          <w:sz w:val="24"/>
          <w:szCs w:val="24"/>
        </w:rPr>
        <w:tab/>
        <w:t xml:space="preserve">  </w:t>
      </w:r>
      <w:r w:rsidR="00D86A2D">
        <w:rPr>
          <w:rFonts w:ascii="Courier New" w:hAnsi="Courier New"/>
          <w:sz w:val="24"/>
          <w:szCs w:val="24"/>
        </w:rPr>
        <w:tab/>
      </w:r>
      <w:r>
        <w:rPr>
          <w:rFonts w:ascii="Courier New" w:hAnsi="Courier New"/>
          <w:sz w:val="24"/>
          <w:szCs w:val="24"/>
        </w:rPr>
        <w:t xml:space="preserve">  </w:t>
      </w:r>
      <w:r>
        <w:rPr>
          <w:rFonts w:ascii="Courier New" w:hAnsi="Courier New"/>
          <w:sz w:val="24"/>
          <w:szCs w:val="24"/>
        </w:rPr>
        <w:tab/>
      </w:r>
      <w:r>
        <w:rPr>
          <w:rFonts w:ascii="Courier New" w:hAnsi="Courier New"/>
          <w:sz w:val="24"/>
          <w:szCs w:val="24"/>
        </w:rPr>
        <w:tab/>
      </w:r>
      <w:bookmarkStart w:id="0" w:name="_GoBack"/>
      <w:bookmarkEnd w:id="0"/>
      <w:r w:rsidR="00D86A2D">
        <w:rPr>
          <w:rFonts w:ascii="Courier New" w:hAnsi="Courier New"/>
          <w:sz w:val="24"/>
          <w:szCs w:val="24"/>
        </w:rPr>
        <w:t xml:space="preserve">  </w:t>
      </w:r>
      <w:r w:rsidR="00DD210C" w:rsidRPr="00040D05">
        <w:rPr>
          <w:rFonts w:ascii="Courier New" w:hAnsi="Courier New"/>
          <w:sz w:val="24"/>
          <w:szCs w:val="24"/>
        </w:rPr>
        <w:t xml:space="preserve">)     </w:t>
      </w:r>
      <w:r w:rsidR="00FC04F8" w:rsidRPr="00040D05">
        <w:rPr>
          <w:rFonts w:ascii="Courier New" w:hAnsi="Courier New"/>
          <w:sz w:val="24"/>
          <w:szCs w:val="24"/>
        </w:rPr>
        <w:t xml:space="preserve"> </w:t>
      </w:r>
      <w:r w:rsidR="004918DA">
        <w:rPr>
          <w:rFonts w:ascii="Courier New" w:hAnsi="Courier New"/>
          <w:sz w:val="24"/>
          <w:szCs w:val="24"/>
        </w:rPr>
        <w:t xml:space="preserve">Testimonial Hearsay </w:t>
      </w:r>
    </w:p>
    <w:p w14:paraId="248045B6" w14:textId="77777777" w:rsidR="00DD28E3" w:rsidRPr="00040D05" w:rsidRDefault="00FC04F8">
      <w:pPr>
        <w:rPr>
          <w:rFonts w:ascii="Courier New" w:hAnsi="Courier New"/>
          <w:sz w:val="24"/>
          <w:szCs w:val="24"/>
        </w:rPr>
      </w:pPr>
      <w:r w:rsidRPr="00040D05">
        <w:rPr>
          <w:rFonts w:ascii="Courier New" w:hAnsi="Courier New"/>
          <w:sz w:val="24"/>
          <w:szCs w:val="24"/>
        </w:rPr>
        <w:t xml:space="preserve">Corporal       </w:t>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t xml:space="preserve">  )</w:t>
      </w:r>
      <w:r w:rsidRPr="00040D05">
        <w:rPr>
          <w:rFonts w:ascii="Courier New" w:hAnsi="Courier New"/>
          <w:sz w:val="24"/>
          <w:szCs w:val="24"/>
        </w:rPr>
        <w:tab/>
      </w:r>
      <w:r w:rsidR="00DD210C" w:rsidRPr="00040D05">
        <w:rPr>
          <w:rFonts w:ascii="Courier New" w:hAnsi="Courier New"/>
          <w:sz w:val="24"/>
          <w:szCs w:val="24"/>
        </w:rPr>
        <w:t xml:space="preserve">  </w:t>
      </w:r>
      <w:r w:rsidR="004918DA">
        <w:rPr>
          <w:rFonts w:ascii="Courier New" w:hAnsi="Courier New"/>
          <w:sz w:val="24"/>
          <w:szCs w:val="24"/>
        </w:rPr>
        <w:t xml:space="preserve"> Report of DNA Testing</w:t>
      </w:r>
    </w:p>
    <w:p w14:paraId="67FF232B" w14:textId="77777777" w:rsidR="00DD210C" w:rsidRPr="00040D05" w:rsidRDefault="00DD210C">
      <w:pPr>
        <w:rPr>
          <w:sz w:val="24"/>
          <w:szCs w:val="24"/>
        </w:rPr>
      </w:pPr>
      <w:r w:rsidRPr="00040D05">
        <w:rPr>
          <w:rFonts w:ascii="Courier New" w:hAnsi="Courier New"/>
          <w:sz w:val="24"/>
          <w:szCs w:val="24"/>
        </w:rPr>
        <w:t xml:space="preserve">U. S. Marine Corps              )           </w:t>
      </w:r>
    </w:p>
    <w:p w14:paraId="41F51079" w14:textId="77777777" w:rsidR="00DD28E3" w:rsidRPr="00040D05" w:rsidRDefault="00DD210C">
      <w:pPr>
        <w:rPr>
          <w:sz w:val="24"/>
          <w:szCs w:val="24"/>
        </w:rPr>
      </w:pPr>
      <w:r w:rsidRPr="00040D05">
        <w:rPr>
          <w:rFonts w:ascii="Courier New" w:hAnsi="Courier New"/>
          <w:sz w:val="24"/>
          <w:szCs w:val="24"/>
        </w:rPr>
        <w:t xml:space="preserve">                </w:t>
      </w:r>
      <w:r w:rsidRPr="00040D05">
        <w:rPr>
          <w:rFonts w:ascii="Courier New" w:hAnsi="Courier New"/>
          <w:sz w:val="24"/>
          <w:szCs w:val="24"/>
        </w:rPr>
        <w:tab/>
      </w:r>
      <w:r w:rsidRPr="00040D05">
        <w:rPr>
          <w:rFonts w:ascii="Courier New" w:hAnsi="Courier New"/>
          <w:sz w:val="24"/>
          <w:szCs w:val="24"/>
        </w:rPr>
        <w:tab/>
      </w:r>
      <w:r w:rsidRPr="00040D05">
        <w:rPr>
          <w:rFonts w:ascii="Courier New" w:hAnsi="Courier New"/>
          <w:sz w:val="24"/>
          <w:szCs w:val="24"/>
        </w:rPr>
        <w:tab/>
        <w:t xml:space="preserve">  )</w:t>
      </w:r>
      <w:r w:rsidRPr="00040D05">
        <w:rPr>
          <w:rFonts w:ascii="Courier New" w:hAnsi="Courier New"/>
          <w:sz w:val="24"/>
          <w:szCs w:val="24"/>
        </w:rPr>
        <w:tab/>
      </w:r>
      <w:r w:rsidRPr="00040D05">
        <w:rPr>
          <w:rFonts w:ascii="Courier New" w:hAnsi="Courier New"/>
          <w:sz w:val="24"/>
          <w:szCs w:val="24"/>
        </w:rPr>
        <w:tab/>
      </w:r>
      <w:r w:rsidR="00B74B00" w:rsidRPr="00040D05">
        <w:rPr>
          <w:rFonts w:ascii="Courier New" w:hAnsi="Courier New"/>
          <w:sz w:val="24"/>
          <w:szCs w:val="24"/>
        </w:rPr>
        <w:t xml:space="preserve"> </w:t>
      </w:r>
      <w:r w:rsidRPr="00040D05">
        <w:rPr>
          <w:rFonts w:ascii="Courier New" w:hAnsi="Courier New"/>
          <w:sz w:val="24"/>
          <w:szCs w:val="24"/>
        </w:rPr>
        <w:t xml:space="preserve"> </w:t>
      </w:r>
      <w:r w:rsidR="004918DA">
        <w:rPr>
          <w:rFonts w:ascii="Courier New" w:hAnsi="Courier New"/>
          <w:sz w:val="24"/>
          <w:szCs w:val="24"/>
        </w:rPr>
        <w:t>9</w:t>
      </w:r>
      <w:r w:rsidR="00FC04F8" w:rsidRPr="00040D05">
        <w:rPr>
          <w:rFonts w:ascii="Courier New" w:hAnsi="Courier New"/>
          <w:sz w:val="24"/>
          <w:szCs w:val="24"/>
        </w:rPr>
        <w:t xml:space="preserve"> </w:t>
      </w:r>
      <w:r w:rsidR="004918DA">
        <w:rPr>
          <w:rFonts w:ascii="Courier New" w:hAnsi="Courier New"/>
          <w:sz w:val="24"/>
          <w:szCs w:val="24"/>
        </w:rPr>
        <w:t>MAY</w:t>
      </w:r>
      <w:r w:rsidR="00FC04F8" w:rsidRPr="00040D05">
        <w:rPr>
          <w:rFonts w:ascii="Courier New" w:hAnsi="Courier New"/>
          <w:sz w:val="24"/>
          <w:szCs w:val="24"/>
        </w:rPr>
        <w:t xml:space="preserve"> 17 </w:t>
      </w:r>
    </w:p>
    <w:p w14:paraId="7185C25A" w14:textId="77777777" w:rsidR="00DD28E3" w:rsidRPr="00DD210C" w:rsidRDefault="00DD28E3">
      <w:pPr>
        <w:tabs>
          <w:tab w:val="left" w:pos="720"/>
          <w:tab w:val="left" w:pos="1440"/>
          <w:tab w:val="left" w:pos="2160"/>
          <w:tab w:val="left" w:pos="2880"/>
          <w:tab w:val="left" w:pos="3600"/>
          <w:tab w:val="left" w:pos="4320"/>
          <w:tab w:val="left" w:pos="4680"/>
        </w:tabs>
        <w:spacing w:line="480" w:lineRule="auto"/>
        <w:rPr>
          <w:sz w:val="24"/>
          <w:szCs w:val="24"/>
        </w:rPr>
      </w:pPr>
    </w:p>
    <w:p w14:paraId="337DF314" w14:textId="77777777" w:rsidR="00DD28E3" w:rsidRPr="00DD210C" w:rsidRDefault="00FC04F8" w:rsidP="00D86A2D">
      <w:pPr>
        <w:tabs>
          <w:tab w:val="left" w:pos="-90"/>
          <w:tab w:val="left" w:pos="360"/>
        </w:tabs>
        <w:spacing w:line="480" w:lineRule="auto"/>
        <w:outlineLvl w:val="0"/>
        <w:rPr>
          <w:sz w:val="24"/>
          <w:szCs w:val="24"/>
        </w:rPr>
      </w:pPr>
      <w:r w:rsidRPr="00DD210C">
        <w:rPr>
          <w:rFonts w:ascii="Courier New" w:hAnsi="Courier New"/>
          <w:sz w:val="24"/>
          <w:szCs w:val="24"/>
        </w:rPr>
        <w:t xml:space="preserve">1.  </w:t>
      </w:r>
      <w:r w:rsidRPr="00DD210C">
        <w:rPr>
          <w:rFonts w:ascii="Courier New" w:hAnsi="Courier New"/>
          <w:b/>
          <w:sz w:val="24"/>
          <w:szCs w:val="24"/>
          <w:u w:val="single"/>
        </w:rPr>
        <w:t>Nature of Motion.</w:t>
      </w:r>
      <w:r w:rsidRPr="00DD210C">
        <w:rPr>
          <w:rFonts w:ascii="Courier New" w:hAnsi="Courier New"/>
          <w:sz w:val="24"/>
          <w:szCs w:val="24"/>
        </w:rPr>
        <w:t xml:space="preserve">  </w:t>
      </w:r>
    </w:p>
    <w:p w14:paraId="01E30DD4" w14:textId="77777777" w:rsidR="00DD28E3" w:rsidRPr="00FB7C14" w:rsidRDefault="00DD210C" w:rsidP="00FB7C14">
      <w:pPr>
        <w:spacing w:line="480" w:lineRule="auto"/>
        <w:ind w:firstLine="720"/>
        <w:rPr>
          <w:rFonts w:ascii="Courier New" w:hAnsi="Courier New" w:cs="Courier New"/>
          <w:sz w:val="24"/>
          <w:szCs w:val="24"/>
        </w:rPr>
      </w:pPr>
      <w:r>
        <w:rPr>
          <w:rFonts w:ascii="Courier New" w:hAnsi="Courier New"/>
          <w:sz w:val="24"/>
          <w:szCs w:val="24"/>
        </w:rPr>
        <w:t>T</w:t>
      </w:r>
      <w:r w:rsidRPr="00DD210C">
        <w:rPr>
          <w:rFonts w:ascii="Courier New" w:hAnsi="Courier New" w:cs="Courier New"/>
          <w:sz w:val="24"/>
          <w:szCs w:val="24"/>
        </w:rPr>
        <w:t xml:space="preserve">he defense moves this Court to </w:t>
      </w:r>
      <w:r>
        <w:rPr>
          <w:rFonts w:ascii="Courier New" w:hAnsi="Courier New" w:cs="Courier New"/>
          <w:sz w:val="24"/>
          <w:szCs w:val="24"/>
        </w:rPr>
        <w:t>hold the DNA</w:t>
      </w:r>
      <w:r w:rsidRPr="00DD210C">
        <w:rPr>
          <w:rFonts w:ascii="Courier New" w:hAnsi="Courier New" w:cs="Courier New"/>
          <w:sz w:val="24"/>
          <w:szCs w:val="24"/>
        </w:rPr>
        <w:t xml:space="preserve"> report to be testimonial hearsay as defined by the U.S. Supreme Court in </w:t>
      </w:r>
      <w:r w:rsidRPr="00C83672">
        <w:rPr>
          <w:rFonts w:ascii="Courier New" w:hAnsi="Courier New" w:cs="Courier New"/>
          <w:i/>
          <w:iCs/>
          <w:sz w:val="24"/>
          <w:szCs w:val="24"/>
          <w:u w:val="single"/>
        </w:rPr>
        <w:t>Crawford v. Washington</w:t>
      </w:r>
      <w:r w:rsidRPr="00DD210C">
        <w:rPr>
          <w:rFonts w:ascii="Courier New" w:hAnsi="Courier New" w:cs="Courier New"/>
          <w:sz w:val="24"/>
          <w:szCs w:val="24"/>
        </w:rPr>
        <w:t xml:space="preserve">, 541 U.S. 36 (2004), and further defined by the Court of Appeals of the Armed forces in </w:t>
      </w:r>
      <w:r w:rsidRPr="00C83672">
        <w:rPr>
          <w:rFonts w:ascii="Courier New" w:hAnsi="Courier New" w:cs="Courier New"/>
          <w:i/>
          <w:iCs/>
          <w:sz w:val="24"/>
          <w:szCs w:val="24"/>
          <w:u w:val="single"/>
        </w:rPr>
        <w:t xml:space="preserve">United States v. </w:t>
      </w:r>
      <w:proofErr w:type="spellStart"/>
      <w:r w:rsidRPr="00C83672">
        <w:rPr>
          <w:rFonts w:ascii="Courier New" w:hAnsi="Courier New" w:cs="Courier New"/>
          <w:i/>
          <w:iCs/>
          <w:sz w:val="24"/>
          <w:szCs w:val="24"/>
          <w:u w:val="single"/>
        </w:rPr>
        <w:t>Harcrow</w:t>
      </w:r>
      <w:proofErr w:type="spellEnd"/>
      <w:r w:rsidRPr="00DD210C">
        <w:rPr>
          <w:rFonts w:ascii="Courier New" w:hAnsi="Courier New" w:cs="Courier New"/>
          <w:sz w:val="24"/>
          <w:szCs w:val="24"/>
        </w:rPr>
        <w:t xml:space="preserve">, </w:t>
      </w:r>
      <w:r w:rsidRPr="00DD210C">
        <w:rPr>
          <w:rFonts w:ascii="Courier New" w:eastAsia="SimSun" w:hAnsi="Courier New" w:cs="Courier New"/>
          <w:sz w:val="24"/>
          <w:szCs w:val="24"/>
          <w:lang w:eastAsia="zh-CN"/>
        </w:rPr>
        <w:t>66 M.J. 154 (C.A.A.F. 2008)</w:t>
      </w:r>
      <w:r w:rsidRPr="00DD210C">
        <w:rPr>
          <w:rFonts w:ascii="Courier New" w:hAnsi="Courier New" w:cs="Courier New"/>
          <w:sz w:val="24"/>
          <w:szCs w:val="24"/>
        </w:rPr>
        <w:t xml:space="preserve">, </w:t>
      </w:r>
      <w:r w:rsidRPr="00C83672">
        <w:rPr>
          <w:rFonts w:ascii="Courier New" w:hAnsi="Courier New" w:cs="Courier New"/>
          <w:i/>
          <w:sz w:val="24"/>
          <w:szCs w:val="24"/>
          <w:u w:val="single"/>
        </w:rPr>
        <w:t>Melendez-Diaz v. Massachusetts</w:t>
      </w:r>
      <w:r w:rsidRPr="00DD210C">
        <w:rPr>
          <w:rFonts w:ascii="Courier New" w:hAnsi="Courier New" w:cs="Courier New"/>
          <w:sz w:val="24"/>
          <w:szCs w:val="24"/>
        </w:rPr>
        <w:t>, 129 S. Ct. 2527, 2530 (2009</w:t>
      </w:r>
      <w:r w:rsidRPr="009F6209">
        <w:rPr>
          <w:rFonts w:ascii="Courier New" w:hAnsi="Courier New" w:cs="Courier New"/>
          <w:sz w:val="24"/>
          <w:szCs w:val="24"/>
        </w:rPr>
        <w:t xml:space="preserve">), </w:t>
      </w:r>
      <w:r w:rsidRPr="00C83672">
        <w:rPr>
          <w:rFonts w:ascii="Courier New" w:hAnsi="Courier New" w:cs="Courier New"/>
          <w:i/>
          <w:sz w:val="24"/>
          <w:szCs w:val="24"/>
          <w:u w:val="single"/>
        </w:rPr>
        <w:t xml:space="preserve">U.S. v. </w:t>
      </w:r>
      <w:proofErr w:type="spellStart"/>
      <w:r w:rsidRPr="00C83672">
        <w:rPr>
          <w:rFonts w:ascii="Courier New" w:hAnsi="Courier New" w:cs="Courier New"/>
          <w:i/>
          <w:sz w:val="24"/>
          <w:szCs w:val="24"/>
          <w:u w:val="single"/>
        </w:rPr>
        <w:t>Blazier</w:t>
      </w:r>
      <w:proofErr w:type="spellEnd"/>
      <w:r w:rsidRPr="009F6209">
        <w:rPr>
          <w:rFonts w:ascii="Courier New" w:hAnsi="Courier New" w:cs="Courier New"/>
          <w:sz w:val="24"/>
          <w:szCs w:val="24"/>
        </w:rPr>
        <w:t xml:space="preserve"> 68 M</w:t>
      </w:r>
      <w:r w:rsidR="004D028F">
        <w:rPr>
          <w:rFonts w:ascii="Courier New" w:hAnsi="Courier New" w:cs="Courier New"/>
          <w:sz w:val="24"/>
          <w:szCs w:val="24"/>
        </w:rPr>
        <w:t>.</w:t>
      </w:r>
      <w:r w:rsidRPr="009F6209">
        <w:rPr>
          <w:rFonts w:ascii="Courier New" w:hAnsi="Courier New" w:cs="Courier New"/>
          <w:sz w:val="24"/>
          <w:szCs w:val="24"/>
        </w:rPr>
        <w:t>J</w:t>
      </w:r>
      <w:r w:rsidR="004D028F">
        <w:rPr>
          <w:rFonts w:ascii="Courier New" w:hAnsi="Courier New" w:cs="Courier New"/>
          <w:sz w:val="24"/>
          <w:szCs w:val="24"/>
        </w:rPr>
        <w:t>.</w:t>
      </w:r>
      <w:r w:rsidRPr="009F6209">
        <w:rPr>
          <w:rFonts w:ascii="Courier New" w:hAnsi="Courier New" w:cs="Courier New"/>
          <w:sz w:val="24"/>
          <w:szCs w:val="24"/>
        </w:rPr>
        <w:t xml:space="preserve"> 439 (2010)</w:t>
      </w:r>
      <w:r w:rsidR="009F6209">
        <w:rPr>
          <w:rStyle w:val="FootnoteReference"/>
          <w:rFonts w:ascii="Courier New" w:hAnsi="Courier New" w:cs="Courier New"/>
          <w:sz w:val="24"/>
          <w:szCs w:val="24"/>
        </w:rPr>
        <w:footnoteReference w:id="1"/>
      </w:r>
      <w:r w:rsidR="004918DA">
        <w:rPr>
          <w:rFonts w:ascii="Courier New" w:hAnsi="Courier New" w:cs="Courier New"/>
          <w:sz w:val="24"/>
          <w:szCs w:val="24"/>
        </w:rPr>
        <w:t xml:space="preserve">, </w:t>
      </w:r>
      <w:r w:rsidR="004918DA" w:rsidRPr="004918DA">
        <w:rPr>
          <w:rFonts w:ascii="Courier New" w:hAnsi="Courier New" w:cs="Courier New"/>
          <w:i/>
          <w:sz w:val="24"/>
          <w:szCs w:val="24"/>
          <w:u w:val="single"/>
        </w:rPr>
        <w:t xml:space="preserve">United States v. </w:t>
      </w:r>
      <w:proofErr w:type="spellStart"/>
      <w:r w:rsidR="004918DA" w:rsidRPr="004918DA">
        <w:rPr>
          <w:rFonts w:ascii="Courier New" w:hAnsi="Courier New" w:cs="Courier New"/>
          <w:i/>
          <w:sz w:val="24"/>
          <w:szCs w:val="24"/>
          <w:u w:val="single"/>
        </w:rPr>
        <w:t>Tearman</w:t>
      </w:r>
      <w:proofErr w:type="spellEnd"/>
      <w:r w:rsidR="00FB7C14">
        <w:rPr>
          <w:rFonts w:ascii="Courier New" w:hAnsi="Courier New" w:cs="Courier New"/>
          <w:sz w:val="24"/>
          <w:szCs w:val="24"/>
        </w:rPr>
        <w:t xml:space="preserve">, 72 M.J. 54, 61, </w:t>
      </w:r>
      <w:r w:rsidR="004918DA" w:rsidRPr="004918DA">
        <w:rPr>
          <w:rFonts w:ascii="Courier New" w:hAnsi="Courier New" w:cs="Courier New"/>
          <w:sz w:val="24"/>
          <w:szCs w:val="24"/>
        </w:rPr>
        <w:t>(C.A.A.F. 2013)</w:t>
      </w:r>
      <w:r w:rsidR="009F6209">
        <w:rPr>
          <w:rFonts w:ascii="Courier New" w:hAnsi="Courier New" w:cs="Courier New"/>
          <w:sz w:val="24"/>
          <w:szCs w:val="24"/>
        </w:rPr>
        <w:t>,</w:t>
      </w:r>
      <w:r w:rsidRPr="00DD210C">
        <w:rPr>
          <w:rFonts w:ascii="Courier New" w:hAnsi="Courier New" w:cs="Courier New"/>
          <w:sz w:val="24"/>
          <w:szCs w:val="24"/>
        </w:rPr>
        <w:t xml:space="preserve"> </w:t>
      </w:r>
      <w:r w:rsidR="00FB7C14" w:rsidRPr="00FB7C14">
        <w:rPr>
          <w:rFonts w:ascii="Courier New" w:hAnsi="Courier New" w:cs="Courier New"/>
          <w:i/>
          <w:sz w:val="24"/>
          <w:szCs w:val="24"/>
          <w:u w:val="single"/>
        </w:rPr>
        <w:t>United States v. Porter</w:t>
      </w:r>
      <w:r w:rsidR="00FB7C14">
        <w:rPr>
          <w:rFonts w:ascii="Courier New" w:hAnsi="Courier New" w:cs="Courier New"/>
          <w:sz w:val="24"/>
          <w:szCs w:val="24"/>
        </w:rPr>
        <w:t>, 72 M.J. 335,</w:t>
      </w:r>
      <w:r w:rsidR="00FB7C14" w:rsidRPr="00FB7C14">
        <w:rPr>
          <w:rFonts w:ascii="Courier New" w:hAnsi="Courier New" w:cs="Courier New"/>
          <w:sz w:val="24"/>
          <w:szCs w:val="24"/>
        </w:rPr>
        <w:t>(C.A.A.F. 2013)</w:t>
      </w:r>
      <w:r w:rsidR="00FB7C14">
        <w:rPr>
          <w:rFonts w:ascii="Courier New" w:hAnsi="Courier New" w:cs="Courier New"/>
          <w:sz w:val="24"/>
          <w:szCs w:val="24"/>
        </w:rPr>
        <w:t xml:space="preserve"> </w:t>
      </w:r>
      <w:r w:rsidRPr="00DD210C">
        <w:rPr>
          <w:rFonts w:ascii="Courier New" w:hAnsi="Courier New" w:cs="Courier New"/>
          <w:sz w:val="24"/>
          <w:szCs w:val="24"/>
        </w:rPr>
        <w:t>and the Sixth Amendment to the United States Constitution.</w:t>
      </w:r>
    </w:p>
    <w:p w14:paraId="7E961D08" w14:textId="77777777" w:rsidR="00DD28E3" w:rsidRDefault="00DD28E3">
      <w:pPr>
        <w:tabs>
          <w:tab w:val="left" w:pos="432"/>
          <w:tab w:val="left" w:pos="864"/>
          <w:tab w:val="left" w:pos="1296"/>
          <w:tab w:val="left" w:pos="4680"/>
        </w:tabs>
      </w:pPr>
    </w:p>
    <w:p w14:paraId="5FE4C3C1" w14:textId="77777777" w:rsidR="00DD28E3" w:rsidRDefault="00FC04F8" w:rsidP="00D86A2D">
      <w:pPr>
        <w:spacing w:line="480" w:lineRule="auto"/>
        <w:outlineLvl w:val="0"/>
      </w:pPr>
      <w:r>
        <w:rPr>
          <w:rFonts w:ascii="Courier New" w:hAnsi="Courier New"/>
          <w:sz w:val="24"/>
        </w:rPr>
        <w:t xml:space="preserve">3.  </w:t>
      </w:r>
      <w:r>
        <w:rPr>
          <w:rFonts w:ascii="Courier New" w:hAnsi="Courier New"/>
          <w:b/>
          <w:sz w:val="24"/>
          <w:u w:val="single"/>
        </w:rPr>
        <w:t>Discussion.</w:t>
      </w:r>
    </w:p>
    <w:p w14:paraId="663699A7" w14:textId="77777777" w:rsidR="00DD210C" w:rsidRPr="004918DA" w:rsidRDefault="00FC04F8" w:rsidP="004918DA">
      <w:pPr>
        <w:tabs>
          <w:tab w:val="left" w:pos="270"/>
        </w:tabs>
        <w:spacing w:line="480" w:lineRule="auto"/>
      </w:pPr>
      <w:r>
        <w:rPr>
          <w:rFonts w:ascii="Courier New" w:hAnsi="Courier New"/>
          <w:sz w:val="24"/>
        </w:rPr>
        <w:tab/>
      </w:r>
      <w:r>
        <w:rPr>
          <w:rFonts w:ascii="Courier New" w:hAnsi="Courier New"/>
          <w:sz w:val="24"/>
        </w:rPr>
        <w:tab/>
        <w:t>(a) Summary of Law.</w:t>
      </w:r>
      <w:r w:rsidR="00DD210C" w:rsidRPr="00DD210C">
        <w:rPr>
          <w:rFonts w:ascii="Courier New" w:eastAsia="Times New Roman" w:hAnsi="Courier New" w:cs="Courier New"/>
          <w:snapToGrid w:val="0"/>
          <w:color w:val="auto"/>
          <w:sz w:val="24"/>
          <w:szCs w:val="24"/>
        </w:rPr>
        <w:t xml:space="preserve"> </w:t>
      </w:r>
    </w:p>
    <w:p w14:paraId="57B19400" w14:textId="77777777" w:rsidR="00DD210C" w:rsidRPr="00DD210C" w:rsidRDefault="00DD210C" w:rsidP="00DD210C">
      <w:pPr>
        <w:spacing w:line="480" w:lineRule="auto"/>
        <w:ind w:firstLine="720"/>
        <w:rPr>
          <w:rFonts w:ascii="Courier New" w:eastAsia="Times New Roman" w:hAnsi="Courier New" w:cs="Courier New"/>
          <w:snapToGrid w:val="0"/>
          <w:color w:val="auto"/>
          <w:sz w:val="24"/>
          <w:szCs w:val="24"/>
        </w:rPr>
      </w:pPr>
      <w:r w:rsidRPr="00DD210C">
        <w:rPr>
          <w:rFonts w:ascii="Courier New" w:eastAsia="Times New Roman" w:hAnsi="Courier New" w:cs="Courier New"/>
          <w:snapToGrid w:val="0"/>
          <w:color w:val="auto"/>
          <w:sz w:val="24"/>
          <w:szCs w:val="24"/>
        </w:rPr>
        <w:t xml:space="preserve">In </w:t>
      </w:r>
      <w:r w:rsidRPr="00DD210C">
        <w:rPr>
          <w:rFonts w:ascii="Courier New" w:eastAsia="Times New Roman" w:hAnsi="Courier New" w:cs="Courier New"/>
          <w:i/>
          <w:snapToGrid w:val="0"/>
          <w:color w:val="auto"/>
          <w:sz w:val="24"/>
          <w:szCs w:val="24"/>
          <w:u w:val="single"/>
        </w:rPr>
        <w:t xml:space="preserve">United States v. </w:t>
      </w:r>
      <w:proofErr w:type="spellStart"/>
      <w:r w:rsidRPr="00DD210C">
        <w:rPr>
          <w:rFonts w:ascii="Courier New" w:eastAsia="Times New Roman" w:hAnsi="Courier New" w:cs="Courier New"/>
          <w:i/>
          <w:snapToGrid w:val="0"/>
          <w:color w:val="auto"/>
          <w:sz w:val="24"/>
          <w:szCs w:val="24"/>
          <w:u w:val="single"/>
        </w:rPr>
        <w:t>Harcrow</w:t>
      </w:r>
      <w:proofErr w:type="spellEnd"/>
      <w:r w:rsidRPr="00DD210C">
        <w:rPr>
          <w:rFonts w:ascii="Courier New" w:eastAsia="Times New Roman" w:hAnsi="Courier New" w:cs="Courier New"/>
          <w:snapToGrid w:val="0"/>
          <w:color w:val="auto"/>
          <w:sz w:val="24"/>
          <w:szCs w:val="24"/>
        </w:rPr>
        <w:t xml:space="preserve">, the appellant was convicted </w:t>
      </w:r>
      <w:r w:rsidRPr="00DD210C">
        <w:rPr>
          <w:rFonts w:ascii="Courier New" w:eastAsia="Times New Roman" w:hAnsi="Courier New" w:cs="Courier New"/>
          <w:snapToGrid w:val="0"/>
          <w:color w:val="auto"/>
          <w:sz w:val="24"/>
          <w:szCs w:val="24"/>
        </w:rPr>
        <w:lastRenderedPageBreak/>
        <w:t xml:space="preserve">of, inter alia, wrongful use of cocaine and wrongful possession of heroin.  66 M.J. 154, 156 (C.A.A.F. 2008).  On appeal, the central issue was whether laboratory reports prepared by the Virginia Division of Forensic Science were testimonial hearsay under </w:t>
      </w:r>
      <w:r w:rsidRPr="00DD210C">
        <w:rPr>
          <w:rFonts w:ascii="Courier New" w:eastAsia="Times New Roman" w:hAnsi="Courier New" w:cs="Courier New"/>
          <w:i/>
          <w:snapToGrid w:val="0"/>
          <w:color w:val="auto"/>
          <w:sz w:val="24"/>
          <w:szCs w:val="24"/>
          <w:u w:val="single"/>
        </w:rPr>
        <w:t>Crawford</w:t>
      </w:r>
      <w:r w:rsidRPr="00DD210C">
        <w:rPr>
          <w:rFonts w:ascii="Courier New" w:eastAsia="Times New Roman" w:hAnsi="Courier New" w:cs="Courier New"/>
          <w:snapToGrid w:val="0"/>
          <w:color w:val="auto"/>
          <w:sz w:val="24"/>
          <w:szCs w:val="24"/>
        </w:rPr>
        <w:t xml:space="preserve">.  </w:t>
      </w:r>
      <w:r w:rsidRPr="00DD210C">
        <w:rPr>
          <w:rFonts w:ascii="Courier New" w:eastAsia="Times New Roman" w:hAnsi="Courier New" w:cs="Courier New"/>
          <w:i/>
          <w:snapToGrid w:val="0"/>
          <w:color w:val="auto"/>
          <w:sz w:val="24"/>
          <w:szCs w:val="24"/>
        </w:rPr>
        <w:t>Id</w:t>
      </w:r>
      <w:r w:rsidRPr="00DD210C">
        <w:rPr>
          <w:rFonts w:ascii="Courier New" w:eastAsia="Times New Roman" w:hAnsi="Courier New" w:cs="Courier New"/>
          <w:snapToGrid w:val="0"/>
          <w:color w:val="auto"/>
          <w:sz w:val="24"/>
          <w:szCs w:val="24"/>
        </w:rPr>
        <w:t xml:space="preserve">.  In the wake of </w:t>
      </w:r>
      <w:r w:rsidRPr="00DD210C">
        <w:rPr>
          <w:rFonts w:ascii="Courier New" w:eastAsia="Times New Roman" w:hAnsi="Courier New" w:cs="Courier New"/>
          <w:i/>
          <w:snapToGrid w:val="0"/>
          <w:color w:val="auto"/>
          <w:sz w:val="24"/>
          <w:szCs w:val="24"/>
          <w:u w:val="single"/>
        </w:rPr>
        <w:t>Crawford</w:t>
      </w:r>
      <w:r w:rsidRPr="00DD210C">
        <w:rPr>
          <w:rFonts w:ascii="Courier New" w:eastAsia="Times New Roman" w:hAnsi="Courier New" w:cs="Courier New"/>
          <w:snapToGrid w:val="0"/>
          <w:color w:val="auto"/>
          <w:sz w:val="24"/>
          <w:szCs w:val="24"/>
        </w:rPr>
        <w:t xml:space="preserve"> and </w:t>
      </w:r>
      <w:proofErr w:type="spellStart"/>
      <w:r w:rsidRPr="00DD210C">
        <w:rPr>
          <w:rFonts w:ascii="Courier New" w:eastAsia="Times New Roman" w:hAnsi="Courier New" w:cs="Courier New"/>
          <w:i/>
          <w:snapToGrid w:val="0"/>
          <w:color w:val="auto"/>
          <w:sz w:val="24"/>
          <w:szCs w:val="24"/>
          <w:u w:val="single"/>
        </w:rPr>
        <w:t>Magyari</w:t>
      </w:r>
      <w:proofErr w:type="spellEnd"/>
      <w:r w:rsidRPr="00DD210C">
        <w:rPr>
          <w:rFonts w:ascii="Courier New" w:eastAsia="Times New Roman" w:hAnsi="Courier New" w:cs="Courier New"/>
          <w:snapToGrid w:val="0"/>
          <w:color w:val="auto"/>
          <w:sz w:val="24"/>
          <w:szCs w:val="24"/>
        </w:rPr>
        <w:t xml:space="preserve">, the Court identified a number of nonexclusive factors that are relevant in distinguishing between testimonial and non-testimonial hearsay made under circumstances that would cause an objective witness to reasonably believe that the statement would be available for use at a later trial, including: (1) was the statement at issue elicited by or made in response to law enforcement or prosecutorial inquiry, (2) did the “statement” involve more than a routine and objective cataloging of unambiguous factual matters, and (3) was the primary purpose for making, or eliciting, the statements the production of evidence with an eye toward trial.  </w:t>
      </w:r>
      <w:r w:rsidRPr="00DD210C">
        <w:rPr>
          <w:rFonts w:ascii="Courier New" w:eastAsia="Times New Roman" w:hAnsi="Courier New" w:cs="Courier New"/>
          <w:i/>
          <w:snapToGrid w:val="0"/>
          <w:color w:val="auto"/>
          <w:sz w:val="24"/>
          <w:szCs w:val="24"/>
        </w:rPr>
        <w:t>Id</w:t>
      </w:r>
      <w:r w:rsidRPr="00DD210C">
        <w:rPr>
          <w:rFonts w:ascii="Courier New" w:eastAsia="Times New Roman" w:hAnsi="Courier New" w:cs="Courier New"/>
          <w:snapToGrid w:val="0"/>
          <w:color w:val="auto"/>
          <w:sz w:val="24"/>
          <w:szCs w:val="24"/>
        </w:rPr>
        <w:t>. at 158</w:t>
      </w:r>
      <w:r w:rsidR="004918DA">
        <w:rPr>
          <w:rFonts w:ascii="Courier New" w:eastAsia="Times New Roman" w:hAnsi="Courier New" w:cs="Courier New"/>
          <w:snapToGrid w:val="0"/>
          <w:color w:val="auto"/>
          <w:sz w:val="24"/>
          <w:szCs w:val="24"/>
        </w:rPr>
        <w:t>.</w:t>
      </w:r>
    </w:p>
    <w:p w14:paraId="5287B943" w14:textId="77777777" w:rsidR="00DD28E3" w:rsidRDefault="00DD210C" w:rsidP="004918DA">
      <w:pPr>
        <w:spacing w:line="480" w:lineRule="auto"/>
        <w:rPr>
          <w:rFonts w:ascii="Courier New" w:eastAsia="Times New Roman" w:hAnsi="Courier New" w:cs="Courier New"/>
          <w:snapToGrid w:val="0"/>
          <w:color w:val="auto"/>
          <w:sz w:val="24"/>
        </w:rPr>
      </w:pPr>
      <w:r w:rsidRPr="00DD210C">
        <w:rPr>
          <w:rFonts w:ascii="Courier New" w:eastAsia="Times New Roman" w:hAnsi="Courier New" w:cs="Courier New"/>
          <w:snapToGrid w:val="0"/>
          <w:color w:val="auto"/>
          <w:sz w:val="24"/>
        </w:rPr>
        <w:tab/>
        <w:t xml:space="preserve">In the Supreme Court case of </w:t>
      </w:r>
      <w:r w:rsidRPr="00DD210C">
        <w:rPr>
          <w:rFonts w:ascii="Courier New" w:eastAsia="Times New Roman" w:hAnsi="Courier New" w:cs="Courier New"/>
          <w:i/>
          <w:snapToGrid w:val="0"/>
          <w:color w:val="auto"/>
          <w:sz w:val="24"/>
          <w:u w:val="single"/>
        </w:rPr>
        <w:t>Melendez-Diaz</w:t>
      </w:r>
      <w:r w:rsidRPr="00DD210C">
        <w:rPr>
          <w:rFonts w:ascii="Courier New" w:eastAsia="Times New Roman" w:hAnsi="Courier New" w:cs="Courier New"/>
          <w:snapToGrid w:val="0"/>
          <w:color w:val="auto"/>
          <w:sz w:val="24"/>
        </w:rPr>
        <w:t xml:space="preserve">, police officers seized bags of cocaine that allegedly belonged to the petitioner.  </w:t>
      </w:r>
      <w:r w:rsidRPr="00DD210C">
        <w:rPr>
          <w:rFonts w:ascii="Courier New" w:eastAsia="Times New Roman" w:hAnsi="Courier New" w:cs="Courier New"/>
          <w:i/>
          <w:snapToGrid w:val="0"/>
          <w:color w:val="auto"/>
          <w:sz w:val="24"/>
          <w:u w:val="single"/>
        </w:rPr>
        <w:t>Melendez-Diaz v. Massachusetts</w:t>
      </w:r>
      <w:r w:rsidRPr="00DD210C">
        <w:rPr>
          <w:rFonts w:ascii="Courier New" w:eastAsia="Times New Roman" w:hAnsi="Courier New" w:cs="Courier New"/>
          <w:snapToGrid w:val="0"/>
          <w:color w:val="auto"/>
          <w:sz w:val="24"/>
        </w:rPr>
        <w:t xml:space="preserve">, 129 S. Ct. 2527, 2530 (2009).  </w:t>
      </w:r>
      <w:r w:rsidR="004918DA">
        <w:rPr>
          <w:rFonts w:ascii="Courier New" w:eastAsia="Times New Roman" w:hAnsi="Courier New" w:cs="Courier New"/>
          <w:snapToGrid w:val="0"/>
          <w:color w:val="auto"/>
          <w:sz w:val="24"/>
        </w:rPr>
        <w:t>T</w:t>
      </w:r>
      <w:r w:rsidRPr="00DD210C">
        <w:rPr>
          <w:rFonts w:ascii="Courier New" w:eastAsia="Times New Roman" w:hAnsi="Courier New" w:cs="Courier New"/>
          <w:snapToGrid w:val="0"/>
          <w:color w:val="auto"/>
          <w:sz w:val="24"/>
        </w:rPr>
        <w:t xml:space="preserve">he Supreme Court found the “certificates of analysis” </w:t>
      </w:r>
      <w:r w:rsidR="004918DA">
        <w:rPr>
          <w:rFonts w:ascii="Courier New" w:eastAsia="Times New Roman" w:hAnsi="Courier New" w:cs="Courier New"/>
          <w:snapToGrid w:val="0"/>
          <w:color w:val="auto"/>
          <w:sz w:val="24"/>
        </w:rPr>
        <w:t xml:space="preserve">concerning the results of testing </w:t>
      </w:r>
      <w:r w:rsidRPr="00DD210C">
        <w:rPr>
          <w:rFonts w:ascii="Courier New" w:eastAsia="Times New Roman" w:hAnsi="Courier New" w:cs="Courier New"/>
          <w:snapToGrid w:val="0"/>
          <w:color w:val="auto"/>
          <w:sz w:val="24"/>
        </w:rPr>
        <w:t xml:space="preserve">fell within the core class of testimonial statements because they were affidavits made for the sole purpose of establishing or proving some fact </w:t>
      </w:r>
      <w:r w:rsidRPr="00DD210C">
        <w:rPr>
          <w:rFonts w:ascii="Courier New" w:eastAsia="Times New Roman" w:hAnsi="Courier New" w:cs="Courier New"/>
          <w:snapToGrid w:val="0"/>
          <w:color w:val="auto"/>
          <w:sz w:val="24"/>
        </w:rPr>
        <w:lastRenderedPageBreak/>
        <w:t xml:space="preserve">of consequence at trial.  The Supreme Court found the certificates were affidavits that acted as solemn declarations or affirmations made for the purpose of establishing or proving some fact, and were functionally identical to live, in court testimony, and did exactly what a witness would do on direct examination.  </w:t>
      </w:r>
      <w:r w:rsidRPr="00192EE2">
        <w:rPr>
          <w:rFonts w:ascii="Courier New" w:eastAsia="Times New Roman" w:hAnsi="Courier New" w:cs="Courier New"/>
          <w:i/>
          <w:snapToGrid w:val="0"/>
          <w:color w:val="auto"/>
          <w:sz w:val="24"/>
          <w:u w:val="single"/>
        </w:rPr>
        <w:t>Melendez-Diaz</w:t>
      </w:r>
      <w:r w:rsidRPr="00DD210C">
        <w:rPr>
          <w:rFonts w:ascii="Courier New" w:eastAsia="Times New Roman" w:hAnsi="Courier New" w:cs="Courier New"/>
          <w:snapToGrid w:val="0"/>
          <w:color w:val="auto"/>
          <w:sz w:val="24"/>
        </w:rPr>
        <w:t xml:space="preserve">, 129 S. Ct. at 2532.  </w:t>
      </w:r>
    </w:p>
    <w:p w14:paraId="3BDB2372" w14:textId="77777777" w:rsidR="00FB7C14" w:rsidRDefault="00FB7C14" w:rsidP="00D86A2D">
      <w:pPr>
        <w:spacing w:line="480" w:lineRule="auto"/>
        <w:outlineLvl w:val="0"/>
        <w:rPr>
          <w:rFonts w:ascii="Courier New" w:eastAsia="Times New Roman" w:hAnsi="Courier New" w:cs="Courier New"/>
          <w:snapToGrid w:val="0"/>
          <w:color w:val="auto"/>
          <w:sz w:val="24"/>
        </w:rPr>
      </w:pPr>
      <w:r w:rsidRPr="00FB7C14">
        <w:rPr>
          <w:rFonts w:ascii="Courier New" w:eastAsia="Times New Roman" w:hAnsi="Courier New" w:cs="Courier New"/>
          <w:snapToGrid w:val="0"/>
          <w:color w:val="auto"/>
          <w:sz w:val="24"/>
        </w:rPr>
        <w:t xml:space="preserve">4. </w:t>
      </w:r>
      <w:r w:rsidRPr="00FB7C14">
        <w:rPr>
          <w:rFonts w:ascii="Courier New" w:eastAsia="Times New Roman" w:hAnsi="Courier New" w:cs="Courier New"/>
          <w:b/>
          <w:snapToGrid w:val="0"/>
          <w:color w:val="auto"/>
          <w:sz w:val="24"/>
          <w:u w:val="single"/>
        </w:rPr>
        <w:t>Conclusion</w:t>
      </w:r>
      <w:r w:rsidRPr="00FB7C14">
        <w:rPr>
          <w:rFonts w:ascii="Courier New" w:eastAsia="Times New Roman" w:hAnsi="Courier New" w:cs="Courier New"/>
          <w:b/>
          <w:snapToGrid w:val="0"/>
          <w:color w:val="auto"/>
          <w:sz w:val="24"/>
        </w:rPr>
        <w:t>.</w:t>
      </w:r>
      <w:r>
        <w:rPr>
          <w:rFonts w:ascii="Courier New" w:eastAsia="Times New Roman" w:hAnsi="Courier New" w:cs="Courier New"/>
          <w:snapToGrid w:val="0"/>
          <w:color w:val="auto"/>
          <w:sz w:val="24"/>
        </w:rPr>
        <w:t xml:space="preserve"> </w:t>
      </w:r>
    </w:p>
    <w:p w14:paraId="60EB99AA" w14:textId="77777777" w:rsidR="00FB7C14" w:rsidRDefault="00FB7C14" w:rsidP="004918DA">
      <w:pPr>
        <w:spacing w:line="480" w:lineRule="auto"/>
        <w:rPr>
          <w:rFonts w:ascii="Courier New" w:eastAsia="Times New Roman" w:hAnsi="Courier New" w:cs="Courier New"/>
          <w:snapToGrid w:val="0"/>
          <w:color w:val="auto"/>
          <w:sz w:val="24"/>
        </w:rPr>
      </w:pPr>
      <w:r>
        <w:rPr>
          <w:rFonts w:ascii="Courier New" w:eastAsia="Times New Roman" w:hAnsi="Courier New" w:cs="Courier New"/>
          <w:snapToGrid w:val="0"/>
          <w:color w:val="auto"/>
          <w:sz w:val="24"/>
        </w:rPr>
        <w:t xml:space="preserve">   Allowing the final report as evidence is in essence permitting a witness back in the deliberation room with the members. Similar to a “formal affidavit-like statement</w:t>
      </w:r>
      <w:r>
        <w:rPr>
          <w:rStyle w:val="FootnoteReference"/>
          <w:rFonts w:ascii="Courier New" w:eastAsia="Times New Roman" w:hAnsi="Courier New" w:cs="Courier New"/>
          <w:snapToGrid w:val="0"/>
          <w:color w:val="auto"/>
          <w:sz w:val="24"/>
        </w:rPr>
        <w:footnoteReference w:id="2"/>
      </w:r>
      <w:r w:rsidR="00F82342">
        <w:rPr>
          <w:rFonts w:ascii="Courier New" w:eastAsia="Times New Roman" w:hAnsi="Courier New" w:cs="Courier New"/>
          <w:snapToGrid w:val="0"/>
          <w:color w:val="auto"/>
          <w:sz w:val="24"/>
        </w:rPr>
        <w:t xml:space="preserve">” yet unlike other witness testimony is permitted to be directly referenced and reviewed multiple times by the members in written form. This may be especially damaging as part of the report may not have been directly testified to in open court yet the members are permitted to read and draw additional information out of the testimonial document that was not elicited from the witness by either the government or defense. </w:t>
      </w:r>
    </w:p>
    <w:p w14:paraId="4972F303" w14:textId="77777777" w:rsidR="009F6209" w:rsidRDefault="009F6209" w:rsidP="00F82342">
      <w:pPr>
        <w:spacing w:line="480" w:lineRule="auto"/>
      </w:pPr>
    </w:p>
    <w:p w14:paraId="3E28A0CE" w14:textId="716934E5" w:rsidR="00DD28E3" w:rsidRDefault="00FC04F8" w:rsidP="00C241CE">
      <w:pPr>
        <w:tabs>
          <w:tab w:val="left" w:pos="432"/>
          <w:tab w:val="left" w:pos="864"/>
          <w:tab w:val="left" w:pos="1296"/>
          <w:tab w:val="left" w:pos="4680"/>
        </w:tabs>
        <w:jc w:val="both"/>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p>
    <w:p w14:paraId="37ADDAC6" w14:textId="77777777" w:rsidR="00DD28E3" w:rsidRDefault="00FC04F8" w:rsidP="00D86A2D">
      <w:pPr>
        <w:tabs>
          <w:tab w:val="left" w:pos="432"/>
          <w:tab w:val="left" w:pos="864"/>
          <w:tab w:val="left" w:pos="1296"/>
          <w:tab w:val="left" w:pos="4680"/>
        </w:tabs>
        <w:jc w:val="both"/>
        <w:outlineLvl w:val="0"/>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Major</w:t>
      </w:r>
    </w:p>
    <w:p w14:paraId="23AEB2E7" w14:textId="77777777" w:rsidR="00DD28E3" w:rsidRDefault="00FC04F8" w:rsidP="00F82342">
      <w:pPr>
        <w:tabs>
          <w:tab w:val="left" w:pos="432"/>
          <w:tab w:val="left" w:pos="864"/>
          <w:tab w:val="left" w:pos="1296"/>
          <w:tab w:val="left" w:pos="4680"/>
        </w:tabs>
        <w:jc w:val="both"/>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F82342">
        <w:rPr>
          <w:rFonts w:ascii="Courier New" w:hAnsi="Courier New"/>
          <w:sz w:val="24"/>
        </w:rPr>
        <w:t>Detailed Defense Counsel</w:t>
      </w:r>
    </w:p>
    <w:sectPr w:rsidR="00DD28E3">
      <w:footerReference w:type="default" r:id="rId8"/>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CB8D" w14:textId="77777777" w:rsidR="00C926F7" w:rsidRDefault="00C926F7">
      <w:r>
        <w:separator/>
      </w:r>
    </w:p>
  </w:endnote>
  <w:endnote w:type="continuationSeparator" w:id="0">
    <w:p w14:paraId="1E7645EC" w14:textId="77777777" w:rsidR="00C926F7" w:rsidRDefault="00C9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larendon Condensed">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09FA" w14:textId="77777777" w:rsidR="00DD28E3" w:rsidRDefault="00FC04F8">
    <w:pPr>
      <w:tabs>
        <w:tab w:val="center" w:pos="4320"/>
        <w:tab w:val="right" w:pos="8640"/>
      </w:tabs>
      <w:jc w:val="center"/>
    </w:pPr>
    <w:r>
      <w:fldChar w:fldCharType="begin"/>
    </w:r>
    <w:r>
      <w:instrText>PAGE</w:instrText>
    </w:r>
    <w:r>
      <w:fldChar w:fldCharType="separate"/>
    </w:r>
    <w:r w:rsidR="00F82342">
      <w:rPr>
        <w:noProof/>
      </w:rPr>
      <w:t>3</w:t>
    </w:r>
    <w:r>
      <w:fldChar w:fldCharType="end"/>
    </w:r>
  </w:p>
  <w:p w14:paraId="771FBC05" w14:textId="77777777" w:rsidR="00DD28E3" w:rsidRDefault="00DD28E3">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DAAD" w14:textId="77777777" w:rsidR="00C926F7" w:rsidRDefault="00C926F7">
      <w:r>
        <w:separator/>
      </w:r>
    </w:p>
  </w:footnote>
  <w:footnote w:type="continuationSeparator" w:id="0">
    <w:p w14:paraId="7932B85E" w14:textId="77777777" w:rsidR="00C926F7" w:rsidRDefault="00C926F7">
      <w:r>
        <w:continuationSeparator/>
      </w:r>
    </w:p>
  </w:footnote>
  <w:footnote w:id="1">
    <w:p w14:paraId="23EBE17B" w14:textId="77777777" w:rsidR="009F6209" w:rsidRPr="00075807" w:rsidRDefault="009F6209">
      <w:pPr>
        <w:pStyle w:val="FootnoteText"/>
        <w:rPr>
          <w:rFonts w:ascii="Courier New" w:hAnsi="Courier New" w:cs="Courier New"/>
          <w:sz w:val="24"/>
          <w:szCs w:val="24"/>
        </w:rPr>
      </w:pPr>
      <w:r w:rsidRPr="00075807">
        <w:rPr>
          <w:rStyle w:val="FootnoteReference"/>
          <w:rFonts w:ascii="Courier New" w:hAnsi="Courier New" w:cs="Courier New"/>
          <w:sz w:val="24"/>
          <w:szCs w:val="24"/>
        </w:rPr>
        <w:footnoteRef/>
      </w:r>
      <w:r w:rsidRPr="00075807">
        <w:rPr>
          <w:rFonts w:ascii="Courier New" w:hAnsi="Courier New" w:cs="Courier New"/>
          <w:sz w:val="24"/>
          <w:szCs w:val="24"/>
        </w:rPr>
        <w:t xml:space="preserve"> </w:t>
      </w:r>
      <w:r w:rsidR="00C83672" w:rsidRPr="00075807">
        <w:rPr>
          <w:rFonts w:ascii="Courier New" w:hAnsi="Courier New" w:cs="Courier New"/>
          <w:i/>
          <w:sz w:val="24"/>
          <w:szCs w:val="24"/>
          <w:u w:val="single"/>
        </w:rPr>
        <w:t xml:space="preserve">United States v. </w:t>
      </w:r>
      <w:proofErr w:type="spellStart"/>
      <w:r w:rsidR="00C83672" w:rsidRPr="00075807">
        <w:rPr>
          <w:rFonts w:ascii="Courier New" w:hAnsi="Courier New" w:cs="Courier New"/>
          <w:i/>
          <w:sz w:val="24"/>
          <w:szCs w:val="24"/>
          <w:u w:val="single"/>
        </w:rPr>
        <w:t>Katso</w:t>
      </w:r>
      <w:proofErr w:type="spellEnd"/>
      <w:r w:rsidR="00C83672" w:rsidRPr="00075807">
        <w:rPr>
          <w:rFonts w:ascii="Courier New" w:hAnsi="Courier New" w:cs="Courier New"/>
          <w:sz w:val="24"/>
          <w:szCs w:val="24"/>
        </w:rPr>
        <w:t xml:space="preserve">, 74 M.J. 273 (C.A.A.F. 2015) favorably sites to </w:t>
      </w:r>
      <w:proofErr w:type="spellStart"/>
      <w:r w:rsidR="00D00CE8">
        <w:rPr>
          <w:rFonts w:ascii="Courier New" w:hAnsi="Courier New" w:cs="Courier New"/>
          <w:i/>
          <w:sz w:val="24"/>
          <w:szCs w:val="24"/>
          <w:u w:val="single"/>
        </w:rPr>
        <w:t>Bla</w:t>
      </w:r>
      <w:r w:rsidR="00C83672" w:rsidRPr="00075807">
        <w:rPr>
          <w:rFonts w:ascii="Courier New" w:hAnsi="Courier New" w:cs="Courier New"/>
          <w:i/>
          <w:sz w:val="24"/>
          <w:szCs w:val="24"/>
          <w:u w:val="single"/>
        </w:rPr>
        <w:t>zier</w:t>
      </w:r>
      <w:proofErr w:type="spellEnd"/>
      <w:r w:rsidR="00C83672" w:rsidRPr="00075807">
        <w:rPr>
          <w:rFonts w:ascii="Courier New" w:hAnsi="Courier New" w:cs="Courier New"/>
          <w:i/>
          <w:sz w:val="24"/>
          <w:szCs w:val="24"/>
        </w:rPr>
        <w:t xml:space="preserve"> </w:t>
      </w:r>
      <w:r w:rsidR="00C83672" w:rsidRPr="00075807">
        <w:rPr>
          <w:rFonts w:ascii="Courier New" w:hAnsi="Courier New" w:cs="Courier New"/>
          <w:sz w:val="24"/>
          <w:szCs w:val="24"/>
        </w:rPr>
        <w:t>concerning what is testimonial and nontestimonial statements</w:t>
      </w:r>
      <w:r w:rsidR="00FB7C14">
        <w:rPr>
          <w:rFonts w:ascii="Courier New" w:hAnsi="Courier New" w:cs="Courier New"/>
          <w:sz w:val="24"/>
          <w:szCs w:val="24"/>
        </w:rPr>
        <w:t xml:space="preserve"> </w:t>
      </w:r>
      <w:r w:rsidR="00C83672" w:rsidRPr="00075807">
        <w:rPr>
          <w:rFonts w:ascii="Courier New" w:hAnsi="Courier New" w:cs="Courier New"/>
          <w:sz w:val="24"/>
          <w:szCs w:val="24"/>
        </w:rPr>
        <w:t xml:space="preserve">, specifically in reference to a DNA report. However </w:t>
      </w:r>
      <w:proofErr w:type="spellStart"/>
      <w:r w:rsidR="00C83672" w:rsidRPr="00075807">
        <w:rPr>
          <w:rFonts w:ascii="Courier New" w:hAnsi="Courier New" w:cs="Courier New"/>
          <w:i/>
          <w:sz w:val="24"/>
          <w:szCs w:val="24"/>
          <w:u w:val="single"/>
        </w:rPr>
        <w:t>Katso</w:t>
      </w:r>
      <w:proofErr w:type="spellEnd"/>
      <w:r w:rsidR="00C83672" w:rsidRPr="00075807">
        <w:rPr>
          <w:rFonts w:ascii="Courier New" w:hAnsi="Courier New" w:cs="Courier New"/>
          <w:i/>
          <w:sz w:val="24"/>
          <w:szCs w:val="24"/>
        </w:rPr>
        <w:t xml:space="preserve"> </w:t>
      </w:r>
      <w:r w:rsidR="00C83672" w:rsidRPr="00075807">
        <w:rPr>
          <w:rFonts w:ascii="Courier New" w:hAnsi="Courier New" w:cs="Courier New"/>
          <w:sz w:val="24"/>
          <w:szCs w:val="24"/>
        </w:rPr>
        <w:t xml:space="preserve">was more focused on the appropriate witness and his testimony and not the lab report’s admissibly. </w:t>
      </w:r>
    </w:p>
  </w:footnote>
  <w:footnote w:id="2">
    <w:p w14:paraId="2B35F3B1" w14:textId="77777777" w:rsidR="00FB7C14" w:rsidRPr="00FB7C14" w:rsidRDefault="00FB7C14" w:rsidP="00FB7C14">
      <w:pPr>
        <w:pStyle w:val="FootnoteText"/>
        <w:rPr>
          <w:rFonts w:ascii="Courier New" w:hAnsi="Courier New" w:cs="Courier New"/>
          <w:sz w:val="24"/>
          <w:szCs w:val="24"/>
        </w:rPr>
      </w:pPr>
      <w:r w:rsidRPr="00FB7C14">
        <w:rPr>
          <w:rStyle w:val="FootnoteReference"/>
          <w:rFonts w:ascii="Courier New" w:hAnsi="Courier New" w:cs="Courier New"/>
          <w:sz w:val="24"/>
          <w:szCs w:val="24"/>
        </w:rPr>
        <w:footnoteRef/>
      </w:r>
      <w:r w:rsidRPr="00FB7C14">
        <w:rPr>
          <w:rFonts w:ascii="Courier New" w:hAnsi="Courier New" w:cs="Courier New"/>
          <w:sz w:val="24"/>
          <w:szCs w:val="24"/>
        </w:rPr>
        <w:t xml:space="preserve"> </w:t>
      </w:r>
      <w:r w:rsidRPr="00FB7C14">
        <w:rPr>
          <w:rFonts w:ascii="Courier New" w:hAnsi="Courier New" w:cs="Courier New"/>
          <w:i/>
          <w:sz w:val="24"/>
          <w:szCs w:val="24"/>
          <w:u w:val="single"/>
        </w:rPr>
        <w:t>United States v. Sweeney</w:t>
      </w:r>
      <w:r w:rsidRPr="00FB7C14">
        <w:rPr>
          <w:rFonts w:ascii="Courier New" w:hAnsi="Courier New" w:cs="Courier New"/>
          <w:sz w:val="24"/>
          <w:szCs w:val="24"/>
        </w:rPr>
        <w:t>, 70 M.J. 296, 304, (C.A.A.F. 2011)</w:t>
      </w:r>
    </w:p>
    <w:p w14:paraId="4FD29621" w14:textId="77777777" w:rsidR="00FB7C14" w:rsidRPr="00FB7C14" w:rsidRDefault="00FB7C14" w:rsidP="00FB7C14">
      <w:pPr>
        <w:pStyle w:val="FootnoteText"/>
        <w:rPr>
          <w:rFonts w:ascii="Courier New" w:hAnsi="Courier New" w:cs="Courier New"/>
          <w:sz w:val="24"/>
          <w:szCs w:val="24"/>
        </w:rPr>
      </w:pPr>
    </w:p>
    <w:p w14:paraId="5CD65F1B" w14:textId="77777777" w:rsidR="00FB7C14" w:rsidRDefault="00FB7C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9B2"/>
    <w:multiLevelType w:val="multilevel"/>
    <w:tmpl w:val="00000000"/>
    <w:lvl w:ilvl="0">
      <w:start w:val="1"/>
      <w:numFmt w:val="lowerLetter"/>
      <w:lvlText w:val="%1."/>
      <w:lvlJc w:val="left"/>
      <w:pPr>
        <w:ind w:left="1320" w:firstLine="2280"/>
      </w:pPr>
      <w:rPr>
        <w:vertAlign w:val="baseline"/>
      </w:rPr>
    </w:lvl>
    <w:lvl w:ilvl="1">
      <w:start w:val="1"/>
      <w:numFmt w:val="lowerLetter"/>
      <w:lvlText w:val="%2."/>
      <w:lvlJc w:val="left"/>
      <w:pPr>
        <w:ind w:left="2040" w:firstLine="3720"/>
      </w:pPr>
      <w:rPr>
        <w:vertAlign w:val="baseline"/>
      </w:rPr>
    </w:lvl>
    <w:lvl w:ilvl="2">
      <w:start w:val="1"/>
      <w:numFmt w:val="lowerRoman"/>
      <w:lvlText w:val="%3."/>
      <w:lvlJc w:val="right"/>
      <w:pPr>
        <w:ind w:left="2760" w:firstLine="5340"/>
      </w:pPr>
      <w:rPr>
        <w:vertAlign w:val="baseline"/>
      </w:rPr>
    </w:lvl>
    <w:lvl w:ilvl="3">
      <w:start w:val="1"/>
      <w:numFmt w:val="decimal"/>
      <w:lvlText w:val="%4."/>
      <w:lvlJc w:val="left"/>
      <w:pPr>
        <w:ind w:left="3480" w:firstLine="6600"/>
      </w:pPr>
      <w:rPr>
        <w:vertAlign w:val="baseline"/>
      </w:rPr>
    </w:lvl>
    <w:lvl w:ilvl="4">
      <w:start w:val="1"/>
      <w:numFmt w:val="lowerLetter"/>
      <w:lvlText w:val="%5."/>
      <w:lvlJc w:val="left"/>
      <w:pPr>
        <w:ind w:left="4200" w:firstLine="8040"/>
      </w:pPr>
      <w:rPr>
        <w:vertAlign w:val="baseline"/>
      </w:rPr>
    </w:lvl>
    <w:lvl w:ilvl="5">
      <w:start w:val="1"/>
      <w:numFmt w:val="lowerRoman"/>
      <w:lvlText w:val="%6."/>
      <w:lvlJc w:val="right"/>
      <w:pPr>
        <w:ind w:left="4920" w:firstLine="9660"/>
      </w:pPr>
      <w:rPr>
        <w:vertAlign w:val="baseline"/>
      </w:rPr>
    </w:lvl>
    <w:lvl w:ilvl="6">
      <w:start w:val="1"/>
      <w:numFmt w:val="decimal"/>
      <w:lvlText w:val="%7."/>
      <w:lvlJc w:val="left"/>
      <w:pPr>
        <w:ind w:left="5640" w:firstLine="10920"/>
      </w:pPr>
      <w:rPr>
        <w:vertAlign w:val="baseline"/>
      </w:rPr>
    </w:lvl>
    <w:lvl w:ilvl="7">
      <w:start w:val="1"/>
      <w:numFmt w:val="lowerLetter"/>
      <w:lvlText w:val="%8."/>
      <w:lvlJc w:val="left"/>
      <w:pPr>
        <w:ind w:left="6360" w:firstLine="12360"/>
      </w:pPr>
      <w:rPr>
        <w:vertAlign w:val="baseline"/>
      </w:rPr>
    </w:lvl>
    <w:lvl w:ilvl="8">
      <w:start w:val="1"/>
      <w:numFmt w:val="lowerRoman"/>
      <w:lvlText w:val="%9."/>
      <w:lvlJc w:val="right"/>
      <w:pPr>
        <w:ind w:left="7080" w:firstLine="13980"/>
      </w:pPr>
      <w:rPr>
        <w:vertAlign w:val="baseline"/>
      </w:rPr>
    </w:lvl>
  </w:abstractNum>
  <w:abstractNum w:abstractNumId="1" w15:restartNumberingAfterBreak="0">
    <w:nsid w:val="24382F39"/>
    <w:multiLevelType w:val="multilevel"/>
    <w:tmpl w:val="00000000"/>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2BFE7367"/>
    <w:multiLevelType w:val="hybridMultilevel"/>
    <w:tmpl w:val="9D0A0278"/>
    <w:lvl w:ilvl="0" w:tplc="9044EFF2">
      <w:start w:val="1"/>
      <w:numFmt w:val="lowerLetter"/>
      <w:lvlText w:val="(%1)"/>
      <w:lvlJc w:val="left"/>
      <w:pPr>
        <w:ind w:left="1152" w:hanging="432"/>
      </w:pPr>
      <w:rPr>
        <w:rFonts w:ascii="Courier New" w:hAnsi="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E3"/>
    <w:rsid w:val="00040D05"/>
    <w:rsid w:val="00075807"/>
    <w:rsid w:val="00192EE2"/>
    <w:rsid w:val="002007ED"/>
    <w:rsid w:val="004918DA"/>
    <w:rsid w:val="004D028F"/>
    <w:rsid w:val="008F085B"/>
    <w:rsid w:val="00942FA4"/>
    <w:rsid w:val="009F6209"/>
    <w:rsid w:val="00B74B00"/>
    <w:rsid w:val="00C241CE"/>
    <w:rsid w:val="00C83672"/>
    <w:rsid w:val="00C926F7"/>
    <w:rsid w:val="00D00CE8"/>
    <w:rsid w:val="00D86A2D"/>
    <w:rsid w:val="00DD210C"/>
    <w:rsid w:val="00DD28E3"/>
    <w:rsid w:val="00E81842"/>
    <w:rsid w:val="00F82342"/>
    <w:rsid w:val="00FB7C14"/>
    <w:rsid w:val="00FC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EB86"/>
  <w15:docId w15:val="{91EC6739-E24D-A944-84D1-EEFD355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larendon Condensed" w:eastAsia="Clarendon Condensed" w:hAnsi="Clarendon Condensed" w:cs="Clarendon Condensed"/>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210C"/>
    <w:pPr>
      <w:ind w:left="720"/>
      <w:contextualSpacing/>
    </w:pPr>
  </w:style>
  <w:style w:type="paragraph" w:styleId="FootnoteText">
    <w:name w:val="footnote text"/>
    <w:basedOn w:val="Normal"/>
    <w:link w:val="FootnoteTextChar"/>
    <w:uiPriority w:val="99"/>
    <w:unhideWhenUsed/>
    <w:rsid w:val="009F6209"/>
  </w:style>
  <w:style w:type="character" w:customStyle="1" w:styleId="FootnoteTextChar">
    <w:name w:val="Footnote Text Char"/>
    <w:basedOn w:val="DefaultParagraphFont"/>
    <w:link w:val="FootnoteText"/>
    <w:uiPriority w:val="99"/>
    <w:rsid w:val="009F6209"/>
  </w:style>
  <w:style w:type="character" w:styleId="FootnoteReference">
    <w:name w:val="footnote reference"/>
    <w:basedOn w:val="DefaultParagraphFont"/>
    <w:uiPriority w:val="99"/>
    <w:semiHidden/>
    <w:unhideWhenUsed/>
    <w:rsid w:val="009F6209"/>
    <w:rPr>
      <w:vertAlign w:val="superscript"/>
    </w:rPr>
  </w:style>
  <w:style w:type="character" w:styleId="Hyperlink">
    <w:name w:val="Hyperlink"/>
    <w:basedOn w:val="DefaultParagraphFont"/>
    <w:uiPriority w:val="99"/>
    <w:unhideWhenUsed/>
    <w:rsid w:val="008F085B"/>
    <w:rPr>
      <w:color w:val="0000FF" w:themeColor="hyperlink"/>
      <w:u w:val="single"/>
    </w:rPr>
  </w:style>
  <w:style w:type="paragraph" w:styleId="PlainText">
    <w:name w:val="Plain Text"/>
    <w:basedOn w:val="Normal"/>
    <w:link w:val="PlainTextChar"/>
    <w:uiPriority w:val="99"/>
    <w:semiHidden/>
    <w:unhideWhenUsed/>
    <w:rsid w:val="004918DA"/>
    <w:rPr>
      <w:rFonts w:ascii="Consolas" w:hAnsi="Consolas" w:cs="Consolas"/>
      <w:sz w:val="21"/>
      <w:szCs w:val="21"/>
    </w:rPr>
  </w:style>
  <w:style w:type="character" w:customStyle="1" w:styleId="PlainTextChar">
    <w:name w:val="Plain Text Char"/>
    <w:basedOn w:val="DefaultParagraphFont"/>
    <w:link w:val="PlainText"/>
    <w:uiPriority w:val="99"/>
    <w:semiHidden/>
    <w:rsid w:val="004918DA"/>
    <w:rPr>
      <w:rFonts w:ascii="Consolas" w:hAnsi="Consolas" w:cs="Consolas"/>
      <w:sz w:val="21"/>
      <w:szCs w:val="21"/>
    </w:rPr>
  </w:style>
  <w:style w:type="paragraph" w:styleId="BalloonText">
    <w:name w:val="Balloon Text"/>
    <w:basedOn w:val="Normal"/>
    <w:link w:val="BalloonTextChar"/>
    <w:uiPriority w:val="99"/>
    <w:semiHidden/>
    <w:unhideWhenUsed/>
    <w:rsid w:val="00F82342"/>
    <w:rPr>
      <w:rFonts w:ascii="Tahoma" w:hAnsi="Tahoma" w:cs="Tahoma"/>
      <w:sz w:val="16"/>
      <w:szCs w:val="16"/>
    </w:rPr>
  </w:style>
  <w:style w:type="character" w:customStyle="1" w:styleId="BalloonTextChar">
    <w:name w:val="Balloon Text Char"/>
    <w:basedOn w:val="DefaultParagraphFont"/>
    <w:link w:val="BalloonText"/>
    <w:uiPriority w:val="99"/>
    <w:semiHidden/>
    <w:rsid w:val="00F82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302">
      <w:bodyDiv w:val="1"/>
      <w:marLeft w:val="0"/>
      <w:marRight w:val="0"/>
      <w:marTop w:val="0"/>
      <w:marBottom w:val="0"/>
      <w:divBdr>
        <w:top w:val="none" w:sz="0" w:space="0" w:color="auto"/>
        <w:left w:val="none" w:sz="0" w:space="0" w:color="auto"/>
        <w:bottom w:val="none" w:sz="0" w:space="0" w:color="auto"/>
        <w:right w:val="none" w:sz="0" w:space="0" w:color="auto"/>
      </w:divBdr>
    </w:div>
    <w:div w:id="439378393">
      <w:bodyDiv w:val="1"/>
      <w:marLeft w:val="0"/>
      <w:marRight w:val="0"/>
      <w:marTop w:val="0"/>
      <w:marBottom w:val="0"/>
      <w:divBdr>
        <w:top w:val="none" w:sz="0" w:space="0" w:color="auto"/>
        <w:left w:val="none" w:sz="0" w:space="0" w:color="auto"/>
        <w:bottom w:val="none" w:sz="0" w:space="0" w:color="auto"/>
        <w:right w:val="none" w:sz="0" w:space="0" w:color="auto"/>
      </w:divBdr>
    </w:div>
    <w:div w:id="689140179">
      <w:bodyDiv w:val="1"/>
      <w:marLeft w:val="0"/>
      <w:marRight w:val="0"/>
      <w:marTop w:val="0"/>
      <w:marBottom w:val="0"/>
      <w:divBdr>
        <w:top w:val="none" w:sz="0" w:space="0" w:color="auto"/>
        <w:left w:val="none" w:sz="0" w:space="0" w:color="auto"/>
        <w:bottom w:val="none" w:sz="0" w:space="0" w:color="auto"/>
        <w:right w:val="none" w:sz="0" w:space="0" w:color="auto"/>
      </w:divBdr>
    </w:div>
    <w:div w:id="88540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2573-1A2F-184B-A9B1-F3F7EC1C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Maj Kristy N</dc:creator>
  <cp:lastModifiedBy>Dan Conway</cp:lastModifiedBy>
  <cp:revision>2</cp:revision>
  <dcterms:created xsi:type="dcterms:W3CDTF">2018-11-26T16:12:00Z</dcterms:created>
  <dcterms:modified xsi:type="dcterms:W3CDTF">2018-11-26T16:12:00Z</dcterms:modified>
</cp:coreProperties>
</file>